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FFFFFF" w:fill="FFFFFF"/>
        <w:spacing w:line="360" w:lineRule="auto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</w:rPr>
        <w:t>：</w:t>
      </w:r>
      <w:r>
        <w:rPr>
          <w:rFonts w:ascii="黑体" w:hAnsi="黑体" w:eastAsia="黑体"/>
          <w:color w:val="000000"/>
          <w:sz w:val="32"/>
          <w:szCs w:val="32"/>
        </w:rPr>
        <w:t>2.“读懂中国”活动作品评审参考标准</w:t>
      </w:r>
    </w:p>
    <w:p>
      <w:pPr>
        <w:spacing w:line="360" w:lineRule="auto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一、征文评审标准（总分100分）</w:t>
      </w:r>
    </w:p>
    <w:tbl>
      <w:tblPr>
        <w:tblStyle w:val="8"/>
        <w:tblW w:w="95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6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32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紧扣主题、立意明确（30分）</w:t>
            </w:r>
          </w:p>
        </w:tc>
        <w:tc>
          <w:tcPr>
            <w:tcW w:w="6379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记录、展示“五老” 在党的百年奋斗历程中的感人事迹和人生体验，以及对青年学生成长成才的重托和建议。若偏题酌情扣分。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32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32"/>
                <w:szCs w:val="32"/>
              </w:rPr>
              <w:t>内容详实、表述得当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37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突出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“五老”人物事迹，强调故事性和细节描述，以“五老”的个体经历反映出党的百年奋斗历程和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伟大成就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，切忌写成“五老”个人简历。根据文章实际情况酌情赋分。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32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语言优美、文笔流畅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根据文章实际情况酌情赋分。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2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情感真实、表达细腻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根据文章实际情况酌情赋分。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3214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32"/>
                <w:szCs w:val="32"/>
              </w:rPr>
              <w:t>文体合规、用字规范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（10分）</w:t>
            </w:r>
          </w:p>
        </w:tc>
        <w:tc>
          <w:tcPr>
            <w:tcW w:w="6379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文体为记叙文，字数不超过2000字。文体有误或字数超过2400字即此项为0分，字数在2001-2400字之间或出现不规范用字的酌情扣分。</w:t>
            </w:r>
          </w:p>
        </w:tc>
      </w:tr>
    </w:tbl>
    <w:p>
      <w:pPr>
        <w:spacing w:line="360" w:lineRule="auto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360" w:lineRule="auto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二、微视频评审标准（总分100分）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6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主题表达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（30分）</w:t>
            </w:r>
          </w:p>
        </w:tc>
        <w:tc>
          <w:tcPr>
            <w:tcW w:w="6379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记录、展示“五老”在党的百年奋斗历程中的感人事迹和人生体验，以及对青年学生成长成才的重托和建议。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突出“五老”人物事迹，强调故事性和细节描述，以“五老”的个体经历反映出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党的百年奋斗历程和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伟大成就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切忌拍摄成“五老”个人简历。根据片子实际情况酌情赋分。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32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结构设置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结构明确、逻辑清晰，悬念设置精彩且自然，能够突出主题、吸引观众。根据片子实际情况酌情赋分。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32"/>
                <w:szCs w:val="32"/>
              </w:rPr>
              <w:t>细节和节奏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379" w:type="dxa"/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调和统一，不突兀；节奏严密且活泼，变化精巧且错落有致；细节运用真实生动，有较强的艺术感染力；画面构图、特效、字幕、片头片尾、暗转等包装处理得当。根据片子实际情况酌情赋分。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电视语言表达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画面语言生动且富有特色，能够吸引观众眼球、表达出拍</w:t>
            </w:r>
            <w:r>
              <w:rPr>
                <w:rFonts w:ascii="仿宋" w:hAnsi="仿宋" w:eastAsia="仿宋" w:cs="Times New Roman"/>
                <w:color w:val="000000"/>
                <w:sz w:val="32"/>
                <w:szCs w:val="32"/>
              </w:rPr>
              <w:t>摄主体的内在情绪、心理及表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现</w:t>
            </w:r>
            <w:r>
              <w:rPr>
                <w:rFonts w:ascii="仿宋" w:hAnsi="仿宋" w:eastAsia="仿宋" w:cs="Times New Roman"/>
                <w:color w:val="000000"/>
                <w:sz w:val="32"/>
                <w:szCs w:val="32"/>
              </w:rPr>
              <w:t>行为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等；解说语言为画面服务，且起到补充和画龙点睛作用；现场语言如采访等，出现时间合适且有对主题阐释等作用，能够很好地渲染影片；字幕语言能够调动观众兴趣，令人印象深刻。电视语言单一，无法讲清事件，无法使观众明白要表达的内容和思想感情的酌情扣分。根据片子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32"/>
                <w:szCs w:val="32"/>
              </w:rPr>
              <w:t>剪接和时长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32"/>
                <w:szCs w:val="32"/>
              </w:rPr>
              <w:t>（10分）</w:t>
            </w:r>
          </w:p>
        </w:tc>
        <w:tc>
          <w:tcPr>
            <w:tcW w:w="6379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根据影片结构划分篇章结构；镜头衔接自然流畅，转换符合整体节奏，有自己的风格特色，思维逻辑独树一格。如出现跳帧、黑屏等重大技术失误，或时长超过6分钟，该项即为0分；时长在5—6分钟的酌情扣分。根据片子实际情况酌情赋分。</w:t>
            </w:r>
          </w:p>
        </w:tc>
      </w:tr>
    </w:tbl>
    <w:p>
      <w:pPr>
        <w:spacing w:line="360" w:lineRule="auto"/>
        <w:rPr>
          <w:rFonts w:ascii="仿宋" w:hAnsi="仿宋" w:eastAsia="仿宋" w:cs="黑体"/>
          <w:bCs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黑体"/>
          <w:bCs/>
          <w:sz w:val="32"/>
          <w:szCs w:val="32"/>
        </w:rPr>
        <w:t>、舞台剧评审标准（总分100分）</w:t>
      </w:r>
    </w:p>
    <w:tbl>
      <w:tblPr>
        <w:tblStyle w:val="8"/>
        <w:tblW w:w="0" w:type="auto"/>
        <w:tblInd w:w="-6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0"/>
        <w:gridCol w:w="6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32"/>
                <w:szCs w:val="32"/>
              </w:rPr>
              <w:t>主题表达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32"/>
                <w:szCs w:val="32"/>
              </w:rPr>
              <w:t>（30分）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记录、展示“五老”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在党的百年奋斗历程中的感人事迹和人生体验，以及对青年学生成长成才的重托和建议。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主题鲜明，贴近生活，有深度，引起观众共鸣。若偏题酌情扣分。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32"/>
                <w:szCs w:val="32"/>
              </w:rPr>
              <w:t>内容设置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基于人物事迹，从小点切入，以小见大；剧情编排合理，情节跌宕起伏，矛盾冲突明显；幕与幕之间转换适当。根据剧情设计酌情赋分。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舞台表演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（20分）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突出艺术设计与表现力，主题表现清晰，人物性格表现充分，动作得体到位，情感细腻有共鸣，团体合作默契。根据表演酌情赋分。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32"/>
                <w:szCs w:val="32"/>
              </w:rPr>
              <w:t>舞台呈现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服装符合人物身份特点、合体大方，饰物搭配得当，辅助表现人物性格、剧情效果等；场景布置及道具安排准确反映剧目表达内容及环境。根据视觉效果酌情赋分。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32"/>
                <w:szCs w:val="32"/>
              </w:rPr>
              <w:t>视频录制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32"/>
                <w:szCs w:val="32"/>
              </w:rPr>
              <w:t>（10分）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通过切换台进行多机位录制，有不同景别的搭配（远景、全景、中景、近景、特写）；配戴无线话筒对演员进行收音，且声音清晰；背景音乐符合剧情及气氛需要。根据视频呈现酌情赋分。</w:t>
            </w:r>
          </w:p>
        </w:tc>
      </w:tr>
    </w:tbl>
    <w:p>
      <w:pPr>
        <w:pStyle w:val="7"/>
        <w:widowControl/>
        <w:shd w:val="clear" w:color="FFFFFF" w:fill="FFFFFF"/>
        <w:spacing w:line="360" w:lineRule="auto"/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lODE2M2MwZTUzOWQ1NWMwZDZmZjBkMjg1ZTc4NzEifQ=="/>
  </w:docVars>
  <w:rsids>
    <w:rsidRoot w:val="00096D4C"/>
    <w:rsid w:val="00060DE2"/>
    <w:rsid w:val="00076CCF"/>
    <w:rsid w:val="00084CBF"/>
    <w:rsid w:val="00096D4C"/>
    <w:rsid w:val="00153EC6"/>
    <w:rsid w:val="003310A8"/>
    <w:rsid w:val="00351E19"/>
    <w:rsid w:val="00367A5B"/>
    <w:rsid w:val="00391CFA"/>
    <w:rsid w:val="00432701"/>
    <w:rsid w:val="004F02B4"/>
    <w:rsid w:val="006526F2"/>
    <w:rsid w:val="006F4CCD"/>
    <w:rsid w:val="00B64800"/>
    <w:rsid w:val="00D704CE"/>
    <w:rsid w:val="00DD2E1C"/>
    <w:rsid w:val="00FD1A9C"/>
    <w:rsid w:val="086B34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Date"/>
    <w:basedOn w:val="1"/>
    <w:next w:val="1"/>
    <w:link w:val="12"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脚 字符"/>
    <w:basedOn w:val="9"/>
    <w:link w:val="5"/>
    <w:uiPriority w:val="99"/>
    <w:rPr>
      <w:sz w:val="18"/>
      <w:szCs w:val="18"/>
    </w:rPr>
  </w:style>
  <w:style w:type="character" w:customStyle="1" w:styleId="12">
    <w:name w:val="日期 字符"/>
    <w:basedOn w:val="9"/>
    <w:link w:val="3"/>
    <w:uiPriority w:val="99"/>
  </w:style>
  <w:style w:type="character" w:customStyle="1" w:styleId="13">
    <w:name w:val="批注框文本 字符"/>
    <w:basedOn w:val="9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0.xml"/><Relationship Id="rId13" Type="http://schemas.openxmlformats.org/officeDocument/2006/relationships/customXml" Target="../customXml/item9.xml"/><Relationship Id="rId12" Type="http://schemas.openxmlformats.org/officeDocument/2006/relationships/customXml" Target="../customXml/item8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7DF4F777-FBF9-4A22-B188-2388DCD31E91}">
  <ds:schemaRefs/>
</ds:datastoreItem>
</file>

<file path=customXml/itemProps10.xml><?xml version="1.0" encoding="utf-8"?>
<ds:datastoreItem xmlns:ds="http://schemas.openxmlformats.org/officeDocument/2006/customXml" ds:itemID="{72A173B3-7102-4841-9B44-8BFFDD7D6B30}">
  <ds:schemaRefs/>
</ds:datastoreItem>
</file>

<file path=customXml/itemProps2.xml><?xml version="1.0" encoding="utf-8"?>
<ds:datastoreItem xmlns:ds="http://schemas.openxmlformats.org/officeDocument/2006/customXml" ds:itemID="{7F7C8BE1-99F4-4357-8EFE-367865C6BD84}">
  <ds:schemaRefs/>
</ds:datastoreItem>
</file>

<file path=customXml/itemProps3.xml><?xml version="1.0" encoding="utf-8"?>
<ds:datastoreItem xmlns:ds="http://schemas.openxmlformats.org/officeDocument/2006/customXml" ds:itemID="{913AF5A2-20F6-4296-9982-86185382B728}">
  <ds:schemaRefs/>
</ds:datastoreItem>
</file>

<file path=customXml/itemProps4.xml><?xml version="1.0" encoding="utf-8"?>
<ds:datastoreItem xmlns:ds="http://schemas.openxmlformats.org/officeDocument/2006/customXml" ds:itemID="{A86B2183-B014-47D9-BD44-E860A8B3058C}">
  <ds:schemaRefs/>
</ds:datastoreItem>
</file>

<file path=customXml/itemProps5.xml><?xml version="1.0" encoding="utf-8"?>
<ds:datastoreItem xmlns:ds="http://schemas.openxmlformats.org/officeDocument/2006/customXml" ds:itemID="{B73FA9A2-71D6-49EF-BDFE-0D748A22F473}">
  <ds:schemaRefs/>
</ds:datastoreItem>
</file>

<file path=customXml/itemProps6.xml><?xml version="1.0" encoding="utf-8"?>
<ds:datastoreItem xmlns:ds="http://schemas.openxmlformats.org/officeDocument/2006/customXml" ds:itemID="{DDE36280-E908-43C4-AF3E-484EC26C93B8}">
  <ds:schemaRefs/>
</ds:datastoreItem>
</file>

<file path=customXml/itemProps7.xml><?xml version="1.0" encoding="utf-8"?>
<ds:datastoreItem xmlns:ds="http://schemas.openxmlformats.org/officeDocument/2006/customXml" ds:itemID="{3A53C311-8CC4-4EC3-A869-F8FD59B6603B}">
  <ds:schemaRefs/>
</ds:datastoreItem>
</file>

<file path=customXml/itemProps8.xml><?xml version="1.0" encoding="utf-8"?>
<ds:datastoreItem xmlns:ds="http://schemas.openxmlformats.org/officeDocument/2006/customXml" ds:itemID="{566AAC69-C09A-482E-A413-1561FBD5B00A}">
  <ds:schemaRefs/>
</ds:datastoreItem>
</file>

<file path=customXml/itemProps9.xml><?xml version="1.0" encoding="utf-8"?>
<ds:datastoreItem xmlns:ds="http://schemas.openxmlformats.org/officeDocument/2006/customXml" ds:itemID="{1FEF9E04-757B-4061-A97F-E84959A096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1758</Words>
  <Characters>1801</Characters>
  <Lines>13</Lines>
  <Paragraphs>3</Paragraphs>
  <TotalTime>1</TotalTime>
  <ScaleCrop>false</ScaleCrop>
  <LinksUpToDate>false</LinksUpToDate>
  <CharactersWithSpaces>1801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2021-03-01T14:15:00Z</dcterms:created>
  <dc:creator>胡冰冰</dc:creator>
  <cp:lastModifiedBy>芋泥啵啵奶绿</cp:lastModifiedBy>
  <dcterms:modified xsi:type="dcterms:W3CDTF">2022-05-25T11:15:31Z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B32A15AA68774A4FA7A66E1769C1657A</vt:lpwstr>
  </property>
</Properties>
</file>